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pStyle w:val="10"/>
      </w:pPr>
    </w:p>
    <w:p>
      <w:pPr>
        <w:jc w:val="center"/>
        <w:rPr>
          <w:rFonts w:hint="default" w:ascii="黑体" w:eastAsia="黑体"/>
          <w:sz w:val="72"/>
          <w:szCs w:val="72"/>
          <w:lang w:val="en-US" w:eastAsia="zh-CN"/>
        </w:rPr>
      </w:pPr>
      <w:r>
        <w:rPr>
          <w:rFonts w:hint="eastAsia" w:ascii="黑体" w:eastAsia="黑体"/>
          <w:sz w:val="72"/>
          <w:szCs w:val="72"/>
          <w:lang w:eastAsia="zh-CN"/>
        </w:rPr>
        <w:t>中共北京市委机构编制委员会办公室</w:t>
      </w:r>
      <w:r>
        <w:rPr>
          <w:rFonts w:hint="eastAsia" w:ascii="黑体" w:eastAsia="黑体"/>
          <w:sz w:val="72"/>
          <w:szCs w:val="72"/>
          <w:lang w:val="en-US" w:eastAsia="zh-CN"/>
        </w:rPr>
        <w:t>(</w:t>
      </w:r>
      <w:r>
        <w:rPr>
          <w:rFonts w:hint="eastAsia" w:ascii="黑体" w:eastAsia="黑体"/>
          <w:sz w:val="72"/>
          <w:szCs w:val="72"/>
          <w:lang w:eastAsia="zh-CN"/>
        </w:rPr>
        <w:t>本级</w:t>
      </w:r>
      <w:r>
        <w:rPr>
          <w:rFonts w:hint="eastAsia" w:ascii="黑体" w:eastAsia="黑体"/>
          <w:sz w:val="72"/>
          <w:szCs w:val="72"/>
          <w:lang w:val="en-US" w:eastAsia="zh-CN"/>
        </w:rPr>
        <w:t>)</w:t>
      </w: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pStyle w:val="10"/>
        <w:rPr>
          <w:rFonts w:ascii="黑体" w:eastAsia="黑体"/>
          <w:sz w:val="52"/>
          <w:szCs w:val="52"/>
        </w:rPr>
      </w:pPr>
    </w:p>
    <w:p>
      <w:pPr>
        <w:spacing w:line="500" w:lineRule="exact"/>
        <w:jc w:val="both"/>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第二部分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第三部分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 xml:space="preserve">第四部分 </w:t>
      </w:r>
      <w:r>
        <w:rPr>
          <w:rFonts w:hint="eastAsia" w:ascii="宋体" w:hAnsi="宋体" w:cs="宋体"/>
          <w:bCs/>
          <w:spacing w:val="40"/>
          <w:kern w:val="0"/>
          <w:sz w:val="32"/>
          <w:szCs w:val="32"/>
        </w:rPr>
        <w:t>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4</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一、单位基本情况</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中共北京市委机构编制委员会办公室（简称市委编办）是中共北京市委机构编制委员会的常设办事机构，在市委编委的领导下负责本市行政管理体制和机构改革以及机构编制日常管理工作，列入市委工作机构序列，归口市委组织部管理。 </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3801.26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rPr>
        <w:t>208.19万元，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5.79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w:t>
      </w:r>
      <w:r>
        <w:rPr>
          <w:rFonts w:hint="eastAsia" w:ascii="仿宋_GB2312" w:eastAsia="仿宋_GB2312"/>
          <w:sz w:val="28"/>
          <w:szCs w:val="28"/>
          <w:lang w:val="en-US" w:eastAsia="zh-CN"/>
        </w:rPr>
        <w:t>798</w:t>
      </w:r>
      <w:r>
        <w:rPr>
          <w:rFonts w:ascii="仿宋_GB2312" w:eastAsia="仿宋_GB2312"/>
          <w:sz w:val="28"/>
          <w:szCs w:val="28"/>
        </w:rPr>
        <w:t>.</w:t>
      </w:r>
      <w:r>
        <w:rPr>
          <w:rFonts w:hint="eastAsia" w:ascii="仿宋_GB2312" w:eastAsia="仿宋_GB2312"/>
          <w:sz w:val="28"/>
          <w:szCs w:val="28"/>
          <w:lang w:val="en-US" w:eastAsia="zh-CN"/>
        </w:rPr>
        <w:t>76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rPr>
        <w:t>205.69万元，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5.79</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w:t>
      </w:r>
      <w:r>
        <w:rPr>
          <w:rFonts w:hint="eastAsia" w:ascii="仿宋_GB2312" w:eastAsia="仿宋_GB2312"/>
          <w:sz w:val="28"/>
          <w:szCs w:val="28"/>
          <w:lang w:val="en-US" w:eastAsia="zh-CN"/>
        </w:rPr>
        <w:t>798</w:t>
      </w:r>
      <w:r>
        <w:rPr>
          <w:rFonts w:ascii="仿宋_GB2312" w:eastAsia="仿宋_GB2312"/>
          <w:sz w:val="28"/>
          <w:szCs w:val="28"/>
        </w:rPr>
        <w:t>.</w:t>
      </w:r>
      <w:r>
        <w:rPr>
          <w:rFonts w:hint="eastAsia" w:ascii="仿宋_GB2312" w:eastAsia="仿宋_GB2312"/>
          <w:sz w:val="28"/>
          <w:szCs w:val="28"/>
          <w:lang w:val="en-US" w:eastAsia="zh-CN"/>
        </w:rPr>
        <w:t>76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ascii="仿宋_GB2312" w:eastAsia="仿宋_GB2312"/>
          <w:sz w:val="28"/>
          <w:szCs w:val="28"/>
        </w:rPr>
        <w:t>3</w:t>
      </w:r>
      <w:r>
        <w:rPr>
          <w:rFonts w:hint="eastAsia" w:ascii="仿宋_GB2312" w:eastAsia="仿宋_GB2312"/>
          <w:sz w:val="28"/>
          <w:szCs w:val="28"/>
          <w:lang w:val="en-US" w:eastAsia="zh-CN"/>
        </w:rPr>
        <w:t>798</w:t>
      </w:r>
      <w:r>
        <w:rPr>
          <w:rFonts w:ascii="仿宋_GB2312" w:eastAsia="仿宋_GB2312"/>
          <w:sz w:val="28"/>
          <w:szCs w:val="28"/>
        </w:rPr>
        <w:t>.</w:t>
      </w:r>
      <w:r>
        <w:rPr>
          <w:rFonts w:hint="eastAsia" w:ascii="仿宋_GB2312" w:eastAsia="仿宋_GB2312"/>
          <w:sz w:val="28"/>
          <w:szCs w:val="28"/>
          <w:lang w:val="en-US" w:eastAsia="zh-CN"/>
        </w:rPr>
        <w:t>76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keepNext/>
        <w:keepLines/>
        <w:pageBreakBefore w:val="0"/>
        <w:widowControl w:val="0"/>
        <w:kinsoku/>
        <w:wordWrap/>
        <w:overflowPunct/>
        <w:topLinePunct w:val="0"/>
        <w:autoSpaceDE/>
        <w:autoSpaceDN/>
        <w:bidi w:val="0"/>
        <w:adjustRightInd/>
        <w:snapToGrid/>
        <w:spacing w:line="200" w:lineRule="exact"/>
        <w:ind w:firstLine="0"/>
        <w:jc w:val="center"/>
        <w:textAlignment w:val="auto"/>
        <w:rPr>
          <w:rFonts w:hint="default"/>
          <w:lang w:val="en-US"/>
        </w:rPr>
      </w:pPr>
      <w:r>
        <w:drawing>
          <wp:anchor distT="0" distB="0" distL="0" distR="0" simplePos="0" relativeHeight="251659264" behindDoc="0" locked="0" layoutInCell="1" allowOverlap="1">
            <wp:simplePos x="0" y="0"/>
            <wp:positionH relativeFrom="column">
              <wp:posOffset>3163570</wp:posOffset>
            </wp:positionH>
            <wp:positionV relativeFrom="paragraph">
              <wp:posOffset>180340</wp:posOffset>
            </wp:positionV>
            <wp:extent cx="3312795" cy="2137410"/>
            <wp:effectExtent l="0" t="0" r="0" b="0"/>
            <wp:wrapNone/>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eastAsia="仿宋_GB2312"/>
          <w:color w:val="000000"/>
          <w:sz w:val="32"/>
          <w:szCs w:val="32"/>
          <w:highlight w:val="none"/>
          <w:lang w:val="en-US" w:eastAsia="zh-CN"/>
        </w:rPr>
        <w:t>图1：收入决算</w:t>
      </w:r>
    </w:p>
    <w:p>
      <w:pPr>
        <w:pStyle w:val="10"/>
      </w:pPr>
    </w:p>
    <w:p>
      <w:pPr>
        <w:spacing w:line="560" w:lineRule="exact"/>
        <w:ind w:firstLine="640"/>
        <w:rPr>
          <w:rFonts w:hint="eastAsia" w:ascii="仿宋_GB2312" w:eastAsia="仿宋_GB2312" w:cs="Droid Sans"/>
          <w:color w:val="000000"/>
          <w:sz w:val="32"/>
          <w:szCs w:val="32"/>
          <w:highlight w:val="none"/>
          <w:lang w:eastAsia="zh-CN"/>
        </w:rPr>
      </w:pPr>
    </w:p>
    <w:p>
      <w:pPr>
        <w:bidi w:val="0"/>
        <w:jc w:val="center"/>
        <w:rPr>
          <w:rFonts w:hint="eastAsia"/>
          <w:color w:val="auto"/>
          <w:lang w:val="en-US" w:eastAsia="zh-CN"/>
          <w14:textFill>
            <w14:noFill/>
          </w14:textFill>
        </w:rPr>
      </w:pPr>
    </w:p>
    <w:p>
      <w:pPr>
        <w:tabs>
          <w:tab w:val="center" w:pos="6979"/>
        </w:tabs>
        <w:spacing w:line="580" w:lineRule="exact"/>
        <w:ind w:firstLine="570"/>
        <w:rPr>
          <w:rFonts w:hint="eastAsia" w:ascii="仿宋_GB2312" w:eastAsia="仿宋_GB2312"/>
          <w:sz w:val="28"/>
          <w:szCs w:val="28"/>
        </w:rPr>
      </w:pPr>
    </w:p>
    <w:p>
      <w:pPr>
        <w:pStyle w:val="2"/>
        <w:rPr>
          <w:rFonts w:hint="eastAsia"/>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hint="eastAsia" w:ascii="仿宋_GB2312" w:eastAsia="仿宋_GB2312"/>
          <w:sz w:val="28"/>
          <w:szCs w:val="28"/>
          <w:lang w:val="en-US" w:eastAsia="zh-CN"/>
        </w:rPr>
        <w:t>3618.52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rPr>
        <w:t>165.81万元，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4.8</w:t>
      </w:r>
      <w:r>
        <w:rPr>
          <w:rFonts w:hint="eastAsia" w:ascii="仿宋_GB2312" w:eastAsia="仿宋_GB2312"/>
          <w:sz w:val="28"/>
          <w:szCs w:val="28"/>
        </w:rPr>
        <w:t>%，其中：基本支出</w:t>
      </w:r>
      <w:r>
        <w:rPr>
          <w:rFonts w:hint="eastAsia" w:ascii="仿宋_GB2312" w:eastAsia="仿宋_GB2312"/>
          <w:sz w:val="28"/>
          <w:szCs w:val="28"/>
          <w:lang w:val="en-US" w:eastAsia="zh-CN"/>
        </w:rPr>
        <w:t>3243.1</w:t>
      </w:r>
      <w:r>
        <w:rPr>
          <w:rFonts w:hint="eastAsia" w:ascii="仿宋_GB2312" w:eastAsia="仿宋_GB2312"/>
          <w:sz w:val="28"/>
          <w:szCs w:val="28"/>
        </w:rPr>
        <w:t>万元，占支出合计的</w:t>
      </w:r>
      <w:r>
        <w:rPr>
          <w:rFonts w:hint="eastAsia" w:ascii="仿宋_GB2312" w:eastAsia="仿宋_GB2312"/>
          <w:sz w:val="28"/>
          <w:szCs w:val="28"/>
          <w:lang w:val="en-US" w:eastAsia="zh-CN"/>
        </w:rPr>
        <w:t>89.63</w:t>
      </w:r>
      <w:r>
        <w:rPr>
          <w:rFonts w:hint="eastAsia" w:ascii="仿宋_GB2312" w:eastAsia="仿宋_GB2312"/>
          <w:sz w:val="28"/>
          <w:szCs w:val="28"/>
        </w:rPr>
        <w:t>%；项目支出</w:t>
      </w:r>
      <w:r>
        <w:rPr>
          <w:rFonts w:hint="eastAsia" w:ascii="仿宋_GB2312" w:eastAsia="仿宋_GB2312"/>
          <w:sz w:val="28"/>
          <w:szCs w:val="28"/>
          <w:lang w:val="en-US" w:eastAsia="zh-CN"/>
        </w:rPr>
        <w:t>375.41</w:t>
      </w:r>
      <w:r>
        <w:rPr>
          <w:rFonts w:hint="eastAsia" w:ascii="仿宋_GB2312" w:eastAsia="仿宋_GB2312"/>
          <w:sz w:val="28"/>
          <w:szCs w:val="28"/>
        </w:rPr>
        <w:t>万元，占支出合计的</w:t>
      </w:r>
      <w:r>
        <w:rPr>
          <w:rFonts w:hint="eastAsia" w:ascii="仿宋_GB2312" w:eastAsia="仿宋_GB2312"/>
          <w:sz w:val="28"/>
          <w:szCs w:val="28"/>
          <w:lang w:val="en-US" w:eastAsia="zh-CN"/>
        </w:rPr>
        <w:t>10.37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drawing>
          <wp:anchor distT="0" distB="0" distL="114300" distR="114300" simplePos="0" relativeHeight="251660288" behindDoc="0" locked="0" layoutInCell="1" allowOverlap="1">
            <wp:simplePos x="0" y="0"/>
            <wp:positionH relativeFrom="column">
              <wp:posOffset>2557145</wp:posOffset>
            </wp:positionH>
            <wp:positionV relativeFrom="paragraph">
              <wp:posOffset>478155</wp:posOffset>
            </wp:positionV>
            <wp:extent cx="3717290" cy="2321560"/>
            <wp:effectExtent l="0" t="0" r="16510" b="2540"/>
            <wp:wrapNone/>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eastAsia="仿宋_GB2312"/>
          <w:color w:val="000000"/>
          <w:sz w:val="32"/>
          <w:szCs w:val="32"/>
          <w:highlight w:val="none"/>
          <w:lang w:val="en-US" w:eastAsia="zh-CN"/>
        </w:rPr>
        <w:t>图2：基本支出和项目支出情况</w:t>
      </w:r>
    </w:p>
    <w:p>
      <w:pPr>
        <w:rPr>
          <w:rFonts w:hint="eastAsia"/>
          <w:lang w:val="en-US" w:eastAsia="zh-CN"/>
        </w:rPr>
      </w:pPr>
    </w:p>
    <w:p>
      <w:pPr>
        <w:jc w:val="center"/>
      </w:pPr>
    </w:p>
    <w:p>
      <w:pPr>
        <w:jc w:val="center"/>
      </w:pPr>
    </w:p>
    <w:p>
      <w:pPr>
        <w:jc w:val="center"/>
      </w:pPr>
    </w:p>
    <w:p>
      <w:pPr>
        <w:jc w:val="center"/>
        <w:rPr>
          <w:rFonts w:hint="eastAsia" w:ascii="黑体" w:eastAsia="黑体"/>
          <w:b/>
          <w:sz w:val="28"/>
          <w:szCs w:val="28"/>
        </w:rPr>
      </w:pP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三、财政拨款收入支出决算总体情况说明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年度财政拨款收、支总计3801.26万元，比上年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208.7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5.81</w:t>
      </w:r>
      <w:r>
        <w:rPr>
          <w:rFonts w:hint="eastAsia" w:ascii="仿宋_GB2312" w:eastAsia="仿宋_GB2312"/>
          <w:sz w:val="28"/>
          <w:szCs w:val="28"/>
        </w:rPr>
        <w:t>%。主要原因：</w:t>
      </w:r>
      <w:r>
        <w:rPr>
          <w:rFonts w:hint="eastAsia" w:ascii="仿宋_GB2312" w:eastAsia="仿宋_GB2312"/>
          <w:sz w:val="28"/>
          <w:szCs w:val="28"/>
          <w:lang w:eastAsia="zh-CN"/>
        </w:rPr>
        <w:t>为保证工作人员数量变动等经费需求，整体增加人员经费预算数</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3618.52</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2962.55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81.87</w:t>
      </w:r>
      <w:r>
        <w:rPr>
          <w:rFonts w:hint="eastAsia" w:ascii="仿宋_GB2312" w:eastAsia="仿宋_GB2312"/>
          <w:sz w:val="28"/>
          <w:szCs w:val="28"/>
        </w:rPr>
        <w:t>%；</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10.84万元,占本年财政拨款支出0.29%；</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375.37</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10.37</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269.76</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7.45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3176.19万元，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2962.55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93.27%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“党委办公厅(室)及相关机构事务”202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3176.19万元，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2962.55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93.27%</w:t>
      </w:r>
      <w:r>
        <w:rPr>
          <w:rFonts w:hint="eastAsia" w:ascii="仿宋_GB2312" w:eastAsia="仿宋_GB2312"/>
          <w:sz w:val="28"/>
          <w:szCs w:val="28"/>
        </w:rPr>
        <w:t>。主要原因：</w:t>
      </w:r>
      <w:r>
        <w:rPr>
          <w:rFonts w:hint="eastAsia" w:ascii="仿宋_GB2312" w:eastAsia="仿宋_GB2312"/>
          <w:sz w:val="28"/>
          <w:szCs w:val="28"/>
          <w:lang w:val="en-US" w:eastAsia="zh-CN"/>
        </w:rPr>
        <w:t>落实政府过紧日子、厉行勤俭节约等要求，严格控制一般性支出</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2、“教育支出”20</w:t>
      </w:r>
      <w:r>
        <w:rPr>
          <w:rFonts w:hint="eastAsia" w:ascii="仿宋_GB2312" w:eastAsia="仿宋_GB2312"/>
          <w:sz w:val="28"/>
          <w:szCs w:val="28"/>
          <w:lang w:val="en-US" w:eastAsia="zh-CN"/>
        </w:rPr>
        <w:t>24</w:t>
      </w:r>
      <w:r>
        <w:rPr>
          <w:rFonts w:hint="eastAsia" w:ascii="仿宋_GB2312" w:eastAsia="仿宋_GB2312"/>
          <w:sz w:val="28"/>
          <w:szCs w:val="28"/>
        </w:rPr>
        <w:t>年度年初预算13.49万元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80.36%</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“进修及培训”20</w:t>
      </w:r>
      <w:r>
        <w:rPr>
          <w:rFonts w:hint="eastAsia" w:ascii="仿宋_GB2312" w:eastAsia="仿宋_GB2312"/>
          <w:sz w:val="28"/>
          <w:szCs w:val="28"/>
          <w:lang w:val="en-US" w:eastAsia="zh-CN"/>
        </w:rPr>
        <w:t>24</w:t>
      </w:r>
      <w:r>
        <w:rPr>
          <w:rFonts w:hint="eastAsia" w:ascii="仿宋_GB2312" w:eastAsia="仿宋_GB2312"/>
          <w:sz w:val="28"/>
          <w:szCs w:val="28"/>
        </w:rPr>
        <w:t>年度年初预算13.49万元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10.84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80.36%</w:t>
      </w:r>
      <w:r>
        <w:rPr>
          <w:rFonts w:hint="eastAsia" w:ascii="仿宋_GB2312" w:eastAsia="仿宋_GB2312"/>
          <w:sz w:val="28"/>
          <w:szCs w:val="28"/>
        </w:rPr>
        <w:t>。主要原因：落实政府过紧日子、厉行勤俭节约等要求，</w:t>
      </w:r>
      <w:r>
        <w:rPr>
          <w:rFonts w:hint="eastAsia" w:ascii="仿宋_GB2312" w:eastAsia="仿宋_GB2312"/>
          <w:sz w:val="28"/>
          <w:szCs w:val="28"/>
          <w:lang w:eastAsia="zh-CN"/>
        </w:rPr>
        <w:t>优化培训课程安排，控制培训时长和参训人数</w:t>
      </w: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415.41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24</w:t>
      </w:r>
      <w:r>
        <w:rPr>
          <w:rFonts w:hint="eastAsia" w:ascii="仿宋_GB2312" w:eastAsia="仿宋_GB2312"/>
          <w:sz w:val="28"/>
          <w:szCs w:val="28"/>
        </w:rPr>
        <w:t>年度决算</w:t>
      </w:r>
      <w:r>
        <w:rPr>
          <w:rFonts w:hint="eastAsia" w:ascii="仿宋_GB2312" w:eastAsia="仿宋_GB2312"/>
          <w:sz w:val="28"/>
          <w:szCs w:val="28"/>
          <w:lang w:val="en-US" w:eastAsia="zh-CN"/>
        </w:rPr>
        <w:t>375.37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90.36%</w:t>
      </w:r>
      <w:r>
        <w:rPr>
          <w:rFonts w:hint="eastAsia" w:ascii="仿宋_GB2312" w:eastAsia="仿宋_GB2312"/>
          <w:sz w:val="28"/>
          <w:szCs w:val="28"/>
        </w:rPr>
        <w:t>。其中：</w:t>
      </w:r>
    </w:p>
    <w:p>
      <w:pPr>
        <w:autoSpaceDE w:val="0"/>
        <w:autoSpaceDN w:val="0"/>
        <w:adjustRightInd w:val="0"/>
        <w:spacing w:line="580" w:lineRule="exact"/>
        <w:ind w:firstLine="560"/>
        <w:jc w:val="left"/>
        <w:rPr>
          <w:rFonts w:ascii="仿宋_GB2312" w:eastAsia="仿宋_GB2312"/>
          <w:sz w:val="28"/>
          <w:szCs w:val="28"/>
        </w:rPr>
      </w:pPr>
      <w:r>
        <w:rPr>
          <w:rFonts w:hint="eastAsia" w:ascii="仿宋_GB2312" w:eastAsia="仿宋_GB2312"/>
          <w:sz w:val="28"/>
          <w:szCs w:val="28"/>
        </w:rPr>
        <w:t>“社会保障和就业支出”202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415.41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w:t>
      </w:r>
      <w:r>
        <w:rPr>
          <w:rFonts w:hint="eastAsia" w:ascii="仿宋_GB2312" w:eastAsia="仿宋_GB2312"/>
          <w:sz w:val="28"/>
          <w:szCs w:val="28"/>
          <w:lang w:val="en-US" w:eastAsia="zh-CN"/>
        </w:rPr>
        <w:t>24</w:t>
      </w:r>
      <w:r>
        <w:rPr>
          <w:rFonts w:hint="eastAsia" w:ascii="仿宋_GB2312" w:eastAsia="仿宋_GB2312"/>
          <w:sz w:val="28"/>
          <w:szCs w:val="28"/>
        </w:rPr>
        <w:t>年度决算</w:t>
      </w:r>
      <w:r>
        <w:rPr>
          <w:rFonts w:hint="eastAsia" w:ascii="仿宋_GB2312" w:eastAsia="仿宋_GB2312"/>
          <w:sz w:val="28"/>
          <w:szCs w:val="28"/>
          <w:lang w:val="en-US" w:eastAsia="zh-CN"/>
        </w:rPr>
        <w:t>375.37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90.36%</w:t>
      </w:r>
      <w:r>
        <w:rPr>
          <w:rFonts w:hint="eastAsia" w:ascii="仿宋_GB2312" w:eastAsia="仿宋_GB2312"/>
          <w:sz w:val="28"/>
          <w:szCs w:val="28"/>
        </w:rPr>
        <w:t>。主要原因：</w:t>
      </w:r>
      <w:r>
        <w:rPr>
          <w:rFonts w:hint="eastAsia" w:ascii="仿宋_GB2312" w:eastAsia="仿宋_GB2312"/>
          <w:sz w:val="28"/>
          <w:szCs w:val="28"/>
          <w:lang w:eastAsia="zh-CN"/>
        </w:rPr>
        <w:t>人员数量变动导致经费支出减少。</w:t>
      </w:r>
    </w:p>
    <w:p>
      <w:pPr>
        <w:numPr>
          <w:ilvl w:val="0"/>
          <w:numId w:val="1"/>
        </w:num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271.45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269.76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99.37%</w:t>
      </w:r>
      <w:r>
        <w:rPr>
          <w:rFonts w:hint="eastAsia" w:ascii="仿宋_GB2312" w:eastAsia="仿宋_GB2312"/>
          <w:sz w:val="28"/>
          <w:szCs w:val="28"/>
        </w:rPr>
        <w:t>。其中：</w:t>
      </w:r>
    </w:p>
    <w:p>
      <w:pPr>
        <w:autoSpaceDE w:val="0"/>
        <w:autoSpaceDN w:val="0"/>
        <w:adjustRightInd w:val="0"/>
        <w:spacing w:line="580" w:lineRule="exact"/>
        <w:ind w:left="0" w:leftChars="0" w:firstLine="560" w:firstLineChars="200"/>
        <w:jc w:val="left"/>
        <w:rPr>
          <w:rFonts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271.45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269.76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99.37%</w:t>
      </w:r>
      <w:r>
        <w:rPr>
          <w:rFonts w:hint="eastAsia" w:ascii="仿宋_GB2312" w:eastAsia="仿宋_GB2312"/>
          <w:sz w:val="28"/>
          <w:szCs w:val="28"/>
        </w:rPr>
        <w:t>。主要原因：</w:t>
      </w:r>
      <w:r>
        <w:rPr>
          <w:rFonts w:hint="eastAsia" w:ascii="仿宋_GB2312" w:eastAsia="仿宋_GB2312"/>
          <w:sz w:val="28"/>
          <w:szCs w:val="28"/>
          <w:lang w:eastAsia="zh-CN"/>
        </w:rPr>
        <w:t>人员数量变动导致经费支出减少。</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五、政府性基金预算财政拨款支出决算情况说明</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六、国有资本经营预算财政拨款收支情况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本单位无相关内容</w:t>
      </w:r>
      <w:r>
        <w:rPr>
          <w:rFonts w:hint="eastAsia" w:ascii="仿宋_GB2312" w:eastAsia="仿宋_GB2312"/>
          <w:sz w:val="28"/>
          <w:szCs w:val="28"/>
        </w:rPr>
        <w:t>。</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3243.1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15.41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37.1</w:t>
      </w:r>
      <w:r>
        <w:rPr>
          <w:rFonts w:hint="eastAsia" w:ascii="仿宋_GB2312" w:eastAsia="仿宋_GB2312"/>
          <w:sz w:val="28"/>
          <w:szCs w:val="28"/>
        </w:rPr>
        <w:t>万元减少</w:t>
      </w:r>
      <w:r>
        <w:rPr>
          <w:rFonts w:hint="eastAsia" w:ascii="仿宋_GB2312" w:eastAsia="仿宋_GB2312"/>
          <w:sz w:val="28"/>
          <w:szCs w:val="28"/>
          <w:lang w:val="en-US" w:eastAsia="zh-CN"/>
        </w:rPr>
        <w:t>21.69</w:t>
      </w:r>
      <w:r>
        <w:rPr>
          <w:rFonts w:hint="eastAsia" w:ascii="仿宋_GB2312" w:eastAsia="仿宋_GB2312"/>
          <w:sz w:val="28"/>
          <w:szCs w:val="28"/>
        </w:rPr>
        <w:t>万元。其中：</w:t>
      </w:r>
    </w:p>
    <w:p>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11.26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14.99</w:t>
      </w:r>
      <w:r>
        <w:rPr>
          <w:rFonts w:hint="eastAsia" w:ascii="仿宋_GB2312" w:eastAsia="仿宋_GB2312"/>
          <w:sz w:val="28"/>
          <w:szCs w:val="28"/>
        </w:rPr>
        <w:t>万元减少</w:t>
      </w:r>
      <w:r>
        <w:rPr>
          <w:rFonts w:hint="eastAsia" w:ascii="仿宋_GB2312" w:eastAsia="仿宋_GB2312"/>
          <w:sz w:val="28"/>
          <w:szCs w:val="28"/>
          <w:lang w:val="en-US" w:eastAsia="zh-CN"/>
        </w:rPr>
        <w:t>3.73</w:t>
      </w:r>
      <w:r>
        <w:rPr>
          <w:rFonts w:hint="eastAsia" w:ascii="仿宋_GB2312" w:eastAsia="仿宋_GB2312"/>
          <w:sz w:val="28"/>
          <w:szCs w:val="28"/>
        </w:rPr>
        <w:t>万元。主要原因：</w:t>
      </w:r>
      <w:r>
        <w:rPr>
          <w:rFonts w:hint="eastAsia" w:ascii="仿宋_GB2312" w:eastAsia="仿宋_GB2312"/>
          <w:sz w:val="28"/>
          <w:szCs w:val="28"/>
          <w:lang w:eastAsia="zh-CN"/>
        </w:rPr>
        <w:t>落实中央八项规定精神，严控</w:t>
      </w:r>
      <w:r>
        <w:rPr>
          <w:rFonts w:hint="eastAsia" w:ascii="仿宋_GB2312" w:eastAsia="仿宋_GB2312"/>
          <w:sz w:val="28"/>
          <w:szCs w:val="28"/>
        </w:rPr>
        <w:t>因公出国（境）费用</w:t>
      </w:r>
      <w:r>
        <w:rPr>
          <w:rFonts w:hint="eastAsia" w:ascii="仿宋_GB2312" w:eastAsia="仿宋_GB2312"/>
          <w:sz w:val="28"/>
          <w:szCs w:val="28"/>
          <w:lang w:eastAsia="zh-CN"/>
        </w:rPr>
        <w:t>规模</w:t>
      </w:r>
      <w:r>
        <w:rPr>
          <w:rFonts w:hint="eastAsia" w:ascii="仿宋_GB2312" w:eastAsia="仿宋_GB2312"/>
          <w:sz w:val="28"/>
          <w:szCs w:val="28"/>
        </w:rPr>
        <w:t>。</w:t>
      </w:r>
      <w:r>
        <w:rPr>
          <w:rFonts w:hint="eastAsia" w:ascii="仿宋_GB2312" w:eastAsia="仿宋_GB2312"/>
          <w:sz w:val="28"/>
          <w:szCs w:val="28"/>
          <w:lang w:val="en-US" w:eastAsia="zh-CN"/>
        </w:rPr>
        <w:t>2024年度因公出国（境）费用主要用于随团赴欧洲国家外出培训等事项，2024年度参加因公出国（境）团组2个、2人次。</w:t>
      </w:r>
    </w:p>
    <w:p>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0.95</w:t>
      </w:r>
      <w:r>
        <w:rPr>
          <w:rFonts w:hint="eastAsia" w:ascii="仿宋_GB2312" w:eastAsia="仿宋_GB2312"/>
          <w:sz w:val="28"/>
          <w:szCs w:val="28"/>
        </w:rPr>
        <w:t>万元减少0.95万元。主要原因：严格落实</w:t>
      </w:r>
      <w:r>
        <w:rPr>
          <w:rFonts w:hint="eastAsia" w:ascii="仿宋_GB2312" w:eastAsia="仿宋_GB2312"/>
          <w:sz w:val="28"/>
          <w:szCs w:val="28"/>
          <w:lang w:eastAsia="zh-CN"/>
        </w:rPr>
        <w:t>中央八项规定精神</w:t>
      </w:r>
      <w:r>
        <w:rPr>
          <w:rFonts w:hint="eastAsia" w:ascii="仿宋_GB2312" w:eastAsia="仿宋_GB2312"/>
          <w:sz w:val="28"/>
          <w:szCs w:val="28"/>
        </w:rPr>
        <w:t>，未开支</w:t>
      </w:r>
      <w:r>
        <w:rPr>
          <w:rFonts w:hint="eastAsia" w:ascii="仿宋_GB2312" w:eastAsia="仿宋_GB2312"/>
          <w:sz w:val="28"/>
          <w:szCs w:val="28"/>
          <w:lang w:eastAsia="zh-CN"/>
        </w:rPr>
        <w:t>公务</w:t>
      </w:r>
      <w:r>
        <w:rPr>
          <w:rFonts w:hint="eastAsia" w:ascii="仿宋_GB2312" w:eastAsia="仿宋_GB2312"/>
          <w:sz w:val="28"/>
          <w:szCs w:val="28"/>
        </w:rPr>
        <w:t>接待费。</w:t>
      </w:r>
      <w:r>
        <w:rPr>
          <w:rFonts w:hint="eastAsia" w:ascii="仿宋_GB2312" w:eastAsia="仿宋_GB2312"/>
          <w:sz w:val="28"/>
          <w:szCs w:val="28"/>
          <w:lang w:eastAsia="zh-CN"/>
        </w:rPr>
        <w:t>公务接待</w:t>
      </w:r>
      <w:r>
        <w:rPr>
          <w:rFonts w:hint="eastAsia" w:ascii="仿宋_GB2312" w:eastAsia="仿宋_GB2312"/>
          <w:sz w:val="28"/>
          <w:szCs w:val="28"/>
          <w:lang w:val="en-US" w:eastAsia="zh-CN"/>
        </w:rPr>
        <w:t>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4.16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21.15</w:t>
      </w:r>
      <w:r>
        <w:rPr>
          <w:rFonts w:hint="eastAsia" w:ascii="仿宋_GB2312" w:eastAsia="仿宋_GB2312"/>
          <w:sz w:val="28"/>
          <w:szCs w:val="28"/>
        </w:rPr>
        <w:t>万元减少</w:t>
      </w:r>
      <w:r>
        <w:rPr>
          <w:rFonts w:hint="eastAsia" w:ascii="仿宋_GB2312" w:eastAsia="仿宋_GB2312"/>
          <w:sz w:val="28"/>
          <w:szCs w:val="28"/>
          <w:lang w:val="en-US" w:eastAsia="zh-CN"/>
        </w:rPr>
        <w:t>16.99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无公务用车更新计划，202</w:t>
      </w:r>
      <w:r>
        <w:rPr>
          <w:rFonts w:hint="eastAsia" w:ascii="仿宋_GB2312" w:eastAsia="仿宋_GB2312"/>
          <w:sz w:val="28"/>
          <w:szCs w:val="28"/>
          <w:lang w:val="en-US" w:eastAsia="zh-CN"/>
        </w:rPr>
        <w:t>4</w:t>
      </w:r>
      <w:r>
        <w:rPr>
          <w:rFonts w:hint="eastAsia" w:ascii="仿宋_GB2312" w:eastAsia="仿宋_GB2312"/>
          <w:sz w:val="28"/>
          <w:szCs w:val="28"/>
        </w:rPr>
        <w:t>年度购置</w:t>
      </w:r>
      <w:r>
        <w:rPr>
          <w:rFonts w:hint="eastAsia" w:ascii="仿宋_GB2312" w:eastAsia="仿宋_GB2312"/>
          <w:sz w:val="28"/>
          <w:szCs w:val="28"/>
          <w:lang w:eastAsia="zh-CN"/>
        </w:rPr>
        <w:t>（</w:t>
      </w:r>
      <w:r>
        <w:rPr>
          <w:rFonts w:hint="eastAsia" w:ascii="仿宋_GB2312" w:eastAsia="仿宋_GB2312"/>
          <w:sz w:val="28"/>
          <w:szCs w:val="28"/>
        </w:rPr>
        <w:t>更新</w:t>
      </w:r>
      <w:r>
        <w:rPr>
          <w:rFonts w:hint="eastAsia" w:ascii="仿宋_GB2312" w:eastAsia="仿宋_GB2312"/>
          <w:sz w:val="28"/>
          <w:szCs w:val="28"/>
          <w:lang w:eastAsia="zh-CN"/>
        </w:rPr>
        <w:t>）</w:t>
      </w:r>
      <w:r>
        <w:rPr>
          <w:rFonts w:hint="eastAsia" w:ascii="仿宋_GB2312" w:eastAsia="仿宋_GB2312"/>
          <w:sz w:val="28"/>
          <w:szCs w:val="28"/>
        </w:rPr>
        <w:t>公务用车0辆。公务用车运行维护费202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4.16</w:t>
      </w:r>
      <w:r>
        <w:rPr>
          <w:rFonts w:hint="eastAsia" w:ascii="仿宋_GB2312" w:eastAsia="仿宋_GB2312"/>
          <w:sz w:val="28"/>
          <w:szCs w:val="28"/>
        </w:rPr>
        <w:t>万元，主要原因：落实厉行勤俭节约要求，严格控制公务用车车均费用。202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年度公务用车保有量7辆。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机关运行经费支出</w:t>
      </w:r>
      <w:r>
        <w:rPr>
          <w:rFonts w:hint="eastAsia" w:ascii="仿宋_GB2312" w:eastAsia="仿宋_GB2312"/>
          <w:sz w:val="28"/>
          <w:szCs w:val="28"/>
        </w:rPr>
        <w:t>合计</w:t>
      </w:r>
      <w:r>
        <w:rPr>
          <w:rFonts w:hint="eastAsia" w:ascii="仿宋_GB2312" w:eastAsia="仿宋_GB2312"/>
          <w:sz w:val="28"/>
          <w:szCs w:val="28"/>
          <w:lang w:val="en-US" w:eastAsia="zh-CN"/>
        </w:rPr>
        <w:t>199.55</w:t>
      </w:r>
      <w:r>
        <w:rPr>
          <w:rFonts w:hint="eastAsia" w:ascii="仿宋_GB2312" w:eastAsia="仿宋_GB2312"/>
          <w:sz w:val="28"/>
          <w:szCs w:val="28"/>
        </w:rPr>
        <w:t>万元，比上年</w:t>
      </w:r>
      <w:r>
        <w:rPr>
          <w:rFonts w:hint="eastAsia" w:ascii="仿宋_GB2312" w:eastAsia="仿宋_GB2312"/>
          <w:sz w:val="28"/>
          <w:szCs w:val="28"/>
          <w:lang w:val="en-US" w:eastAsia="zh-CN"/>
        </w:rPr>
        <w:t>194.01</w:t>
      </w:r>
      <w:r>
        <w:rPr>
          <w:rFonts w:hint="eastAsia" w:ascii="仿宋_GB2312" w:eastAsia="仿宋_GB2312"/>
          <w:sz w:val="28"/>
          <w:szCs w:val="28"/>
        </w:rPr>
        <w:t>增加</w:t>
      </w:r>
      <w:r>
        <w:rPr>
          <w:rFonts w:hint="eastAsia" w:ascii="仿宋_GB2312" w:eastAsia="仿宋_GB2312"/>
          <w:sz w:val="28"/>
          <w:szCs w:val="28"/>
          <w:lang w:val="en-US" w:eastAsia="zh-CN"/>
        </w:rPr>
        <w:t>5.54</w:t>
      </w:r>
      <w:r>
        <w:rPr>
          <w:rFonts w:hint="eastAsia" w:ascii="仿宋_GB2312" w:eastAsia="仿宋_GB2312"/>
          <w:sz w:val="28"/>
          <w:szCs w:val="28"/>
        </w:rPr>
        <w:t>万元，增加原因：</w:t>
      </w:r>
      <w:r>
        <w:rPr>
          <w:rFonts w:hint="eastAsia" w:ascii="仿宋_GB2312" w:eastAsia="仿宋_GB2312"/>
          <w:sz w:val="28"/>
          <w:szCs w:val="28"/>
          <w:lang w:eastAsia="zh-CN"/>
        </w:rPr>
        <w:t>按照工作安排开展业务培训，导致机关运行经费</w:t>
      </w:r>
      <w:bookmarkStart w:id="0" w:name="_GoBack"/>
      <w:bookmarkEnd w:id="0"/>
      <w:r>
        <w:rPr>
          <w:rFonts w:hint="eastAsia" w:ascii="仿宋_GB2312" w:eastAsia="仿宋_GB2312"/>
          <w:sz w:val="28"/>
          <w:szCs w:val="28"/>
          <w:lang w:eastAsia="zh-CN"/>
        </w:rPr>
        <w:t>较上年有所增加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hint="eastAsia" w:ascii="仿宋_GB2312" w:eastAsia="仿宋_GB2312"/>
          <w:sz w:val="28"/>
          <w:szCs w:val="28"/>
          <w:lang w:val="en-US" w:eastAsia="zh-CN"/>
        </w:rPr>
        <w:t>202.08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2.84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199.24</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0.67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0.33</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0.67</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0.33</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截至12月31日，市委编办（本级）共有车辆7台；单位价值100万元（含）以上的设备0台（套）。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lang w:val="en-US" w:eastAsia="zh-CN"/>
        </w:rPr>
        <w:t>130.8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w:t>
      </w:r>
      <w:r>
        <w:rPr>
          <w:rFonts w:hint="eastAsia" w:ascii="仿宋_GB2312" w:eastAsia="仿宋_GB2312"/>
          <w:sz w:val="28"/>
          <w:szCs w:val="28"/>
        </w:rPr>
        <w:t>一般公共服务支出（类）党委办公厅（室）及相关机构事务（款）行政运行（项）</w:t>
      </w:r>
      <w:r>
        <w:rPr>
          <w:rFonts w:hint="eastAsia" w:ascii="仿宋_GB2312" w:eastAsia="仿宋_GB2312"/>
          <w:sz w:val="28"/>
          <w:szCs w:val="28"/>
          <w:lang w:val="en-US" w:eastAsia="zh-CN"/>
        </w:rPr>
        <w:t>：反应行政单位（包括实行公务员管理的事业单位）的基本支出。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一般公共服务支出（类）党委办公厅（室）及相关机构事务（款）一般行政管理事务（项）</w:t>
      </w:r>
      <w:r>
        <w:rPr>
          <w:rFonts w:hint="eastAsia" w:ascii="仿宋_GB2312" w:eastAsia="仿宋_GB2312"/>
          <w:sz w:val="28"/>
          <w:szCs w:val="28"/>
          <w:lang w:val="en-US" w:eastAsia="zh-CN"/>
        </w:rPr>
        <w:t>：</w:t>
      </w:r>
      <w:r>
        <w:rPr>
          <w:rFonts w:hint="eastAsia" w:ascii="仿宋_GB2312" w:eastAsia="仿宋_GB2312"/>
          <w:sz w:val="28"/>
          <w:szCs w:val="28"/>
        </w:rPr>
        <w:t>反映行政单位（包括实行公务员管理的事业单位）未单独设置项级科目的其他项目支出。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教育支出（类）进修及培训（款）培训支出（项）</w:t>
      </w:r>
      <w:r>
        <w:rPr>
          <w:rFonts w:hint="eastAsia" w:ascii="仿宋_GB2312" w:eastAsia="仿宋_GB2312"/>
          <w:sz w:val="28"/>
          <w:szCs w:val="28"/>
          <w:lang w:val="en-US" w:eastAsia="zh-CN"/>
        </w:rPr>
        <w:t>：反应各部门安排的用于培训的支出。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val="en-US" w:eastAsia="zh-CN"/>
        </w:rPr>
        <w:t>行政单位离退休</w:t>
      </w:r>
      <w:r>
        <w:rPr>
          <w:rFonts w:hint="eastAsia" w:ascii="仿宋_GB2312" w:eastAsia="仿宋_GB2312"/>
          <w:sz w:val="28"/>
          <w:szCs w:val="28"/>
        </w:rPr>
        <w:t>（项）</w:t>
      </w:r>
      <w:r>
        <w:rPr>
          <w:rFonts w:hint="eastAsia" w:ascii="仿宋_GB2312" w:eastAsia="仿宋_GB2312"/>
          <w:sz w:val="28"/>
          <w:szCs w:val="28"/>
          <w:lang w:val="en-US" w:eastAsia="zh-CN"/>
        </w:rPr>
        <w:t>：反应行政单位（包括实行公务员管理的事业单位）开支的离退休经费。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社会保障和就业支出（类）行政事业单位养老支出（款）机关事业单位基本养老保险缴费支出（项）</w:t>
      </w:r>
      <w:r>
        <w:rPr>
          <w:rFonts w:hint="eastAsia" w:ascii="仿宋_GB2312" w:eastAsia="仿宋_GB2312"/>
          <w:sz w:val="28"/>
          <w:szCs w:val="28"/>
          <w:lang w:val="en-US" w:eastAsia="zh-CN"/>
        </w:rPr>
        <w:t>：反应机关事业单位实施养老保险制度由单位缴纳的基本养老保险费支出。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w:t>
      </w:r>
      <w:r>
        <w:rPr>
          <w:rFonts w:hint="eastAsia" w:ascii="仿宋_GB2312" w:eastAsia="仿宋_GB2312"/>
          <w:sz w:val="28"/>
          <w:szCs w:val="28"/>
        </w:rPr>
        <w:t>社会保障和就业支出（类）行政事业单位养老支出（款）机关事业单位职业年金缴费支出（项）</w:t>
      </w:r>
      <w:r>
        <w:rPr>
          <w:rFonts w:hint="eastAsia" w:ascii="仿宋_GB2312" w:eastAsia="仿宋_GB2312"/>
          <w:sz w:val="28"/>
          <w:szCs w:val="28"/>
          <w:lang w:val="en-US" w:eastAsia="zh-CN"/>
        </w:rPr>
        <w:t>：反应机关事业单位实施养老保险制度由单位缴纳的职业年金支出。</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卫生健康支出（类）行政事业单位医疗（款）行政单位医疗（项）</w:t>
      </w:r>
      <w:r>
        <w:rPr>
          <w:rFonts w:hint="eastAsia" w:ascii="仿宋_GB2312" w:eastAsia="仿宋_GB2312"/>
          <w:sz w:val="28"/>
          <w:szCs w:val="28"/>
          <w:lang w:val="en-US" w:eastAsia="zh-CN"/>
        </w:rPr>
        <w:t>：反应财政部门安排的行政单位（包括实行公务员管理的事业单位）基本医疗保险费经费。</w:t>
      </w: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pStyle w:val="10"/>
        <w:rPr>
          <w:rFonts w:hint="eastAsia"/>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r>
        <w:rPr>
          <w:rFonts w:hint="eastAsia" w:ascii="黑体" w:eastAsia="黑体"/>
          <w:sz w:val="28"/>
          <w:szCs w:val="28"/>
          <w:lang w:eastAsia="zh-CN"/>
        </w:rPr>
        <w:t>（详见附件）</w:t>
      </w:r>
    </w:p>
    <w:p>
      <w:pPr>
        <w:ind w:firstLine="560" w:firstLineChars="200"/>
        <w:rPr>
          <w:rFonts w:hint="eastAsia" w:ascii="黑体" w:eastAsia="黑体"/>
          <w:sz w:val="28"/>
          <w:szCs w:val="28"/>
        </w:rPr>
      </w:pPr>
      <w:r>
        <w:rPr>
          <w:rFonts w:hint="eastAsia" w:ascii="黑体" w:eastAsia="黑体"/>
          <w:sz w:val="28"/>
          <w:szCs w:val="28"/>
        </w:rPr>
        <w:t>二、项目支出绩效评价报告</w:t>
      </w:r>
      <w:r>
        <w:rPr>
          <w:rFonts w:hint="eastAsia" w:ascii="黑体" w:eastAsia="黑体"/>
          <w:sz w:val="28"/>
          <w:szCs w:val="28"/>
          <w:lang w:eastAsia="zh-CN"/>
        </w:rPr>
        <w:t>（详见附件）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pStyle w:val="3"/>
        <w:ind w:firstLine="560"/>
        <w:rPr>
          <w:rFonts w:hint="eastAsia"/>
        </w:rPr>
      </w:pP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57F28A"/>
    <w:multiLevelType w:val="singleLevel"/>
    <w:tmpl w:val="1A57F28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yN2YzZTNiMDBjZGZlNWM2ZDBmMmM1NmQ1NDlmOG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A12CFE"/>
    <w:rsid w:val="079004AC"/>
    <w:rsid w:val="07BE9058"/>
    <w:rsid w:val="09027210"/>
    <w:rsid w:val="0CC92C01"/>
    <w:rsid w:val="0D8813AA"/>
    <w:rsid w:val="0F2509CA"/>
    <w:rsid w:val="0F8E2C57"/>
    <w:rsid w:val="1059665E"/>
    <w:rsid w:val="10AC13BA"/>
    <w:rsid w:val="123D3724"/>
    <w:rsid w:val="1326A233"/>
    <w:rsid w:val="13B251F2"/>
    <w:rsid w:val="13CA2696"/>
    <w:rsid w:val="13DA7E7F"/>
    <w:rsid w:val="154C6EEC"/>
    <w:rsid w:val="1AEC0734"/>
    <w:rsid w:val="1DEF20B0"/>
    <w:rsid w:val="20E05A5B"/>
    <w:rsid w:val="214243FA"/>
    <w:rsid w:val="21B61B70"/>
    <w:rsid w:val="257A14F5"/>
    <w:rsid w:val="27196C26"/>
    <w:rsid w:val="29A66B9A"/>
    <w:rsid w:val="29EF086F"/>
    <w:rsid w:val="2A280BA3"/>
    <w:rsid w:val="2EFFE297"/>
    <w:rsid w:val="301437CA"/>
    <w:rsid w:val="330723DA"/>
    <w:rsid w:val="374605AC"/>
    <w:rsid w:val="38F113CD"/>
    <w:rsid w:val="39BB6A2B"/>
    <w:rsid w:val="3DD80569"/>
    <w:rsid w:val="3EFB279B"/>
    <w:rsid w:val="3F4A0AB6"/>
    <w:rsid w:val="3F7D32F2"/>
    <w:rsid w:val="3FEFAF67"/>
    <w:rsid w:val="3FFE3105"/>
    <w:rsid w:val="433E495C"/>
    <w:rsid w:val="43FB71A0"/>
    <w:rsid w:val="46893738"/>
    <w:rsid w:val="4AC27CB3"/>
    <w:rsid w:val="4BF72BEF"/>
    <w:rsid w:val="51DB3C59"/>
    <w:rsid w:val="55762E42"/>
    <w:rsid w:val="56C9717F"/>
    <w:rsid w:val="57A7B272"/>
    <w:rsid w:val="58470068"/>
    <w:rsid w:val="5A1720F9"/>
    <w:rsid w:val="5B9C37C2"/>
    <w:rsid w:val="5BA7C654"/>
    <w:rsid w:val="61796D32"/>
    <w:rsid w:val="64C0607C"/>
    <w:rsid w:val="676F09E1"/>
    <w:rsid w:val="67FF1F4E"/>
    <w:rsid w:val="6C0D3D46"/>
    <w:rsid w:val="6EDD0037"/>
    <w:rsid w:val="6FBF3E29"/>
    <w:rsid w:val="71C84B3A"/>
    <w:rsid w:val="73BB09A5"/>
    <w:rsid w:val="73DF60CC"/>
    <w:rsid w:val="76134582"/>
    <w:rsid w:val="76B45CFE"/>
    <w:rsid w:val="77EB1B5C"/>
    <w:rsid w:val="77FFF90B"/>
    <w:rsid w:val="7A7F1C49"/>
    <w:rsid w:val="7B5B7AE6"/>
    <w:rsid w:val="7B7E5592"/>
    <w:rsid w:val="7BA7071E"/>
    <w:rsid w:val="7BDF6DA8"/>
    <w:rsid w:val="7BDFCD64"/>
    <w:rsid w:val="7BEE3C24"/>
    <w:rsid w:val="7C7EDC1A"/>
    <w:rsid w:val="7CCED98D"/>
    <w:rsid w:val="7D08410F"/>
    <w:rsid w:val="7DB96DED"/>
    <w:rsid w:val="7DBC521F"/>
    <w:rsid w:val="7DD3AD81"/>
    <w:rsid w:val="7F5F7317"/>
    <w:rsid w:val="7F7FE70F"/>
    <w:rsid w:val="7FDF499F"/>
    <w:rsid w:val="7FFF28B7"/>
    <w:rsid w:val="7FFF772F"/>
    <w:rsid w:val="95F35EF6"/>
    <w:rsid w:val="9BFFD860"/>
    <w:rsid w:val="9F7D86BE"/>
    <w:rsid w:val="AC5F73DE"/>
    <w:rsid w:val="AF3E1C5F"/>
    <w:rsid w:val="B4F93510"/>
    <w:rsid w:val="B5DDD2C8"/>
    <w:rsid w:val="B5EA6487"/>
    <w:rsid w:val="B8F7EC24"/>
    <w:rsid w:val="B9DFABD9"/>
    <w:rsid w:val="BA7B339D"/>
    <w:rsid w:val="BBFF988C"/>
    <w:rsid w:val="BC0D83FC"/>
    <w:rsid w:val="BF34D051"/>
    <w:rsid w:val="BF3BDEFB"/>
    <w:rsid w:val="BF767A63"/>
    <w:rsid w:val="BF773DE4"/>
    <w:rsid w:val="C75F6086"/>
    <w:rsid w:val="C7F7ED2D"/>
    <w:rsid w:val="CFAF854E"/>
    <w:rsid w:val="D7FD82E0"/>
    <w:rsid w:val="D8D7928E"/>
    <w:rsid w:val="D8FE3136"/>
    <w:rsid w:val="DCFFB199"/>
    <w:rsid w:val="DDBEC7F4"/>
    <w:rsid w:val="DDDE60B7"/>
    <w:rsid w:val="DE9F6A22"/>
    <w:rsid w:val="DF4FCE6A"/>
    <w:rsid w:val="E4FED278"/>
    <w:rsid w:val="E62F790B"/>
    <w:rsid w:val="E7EFAD7B"/>
    <w:rsid w:val="EBEE9AD4"/>
    <w:rsid w:val="EBFA9BD7"/>
    <w:rsid w:val="EDAA365C"/>
    <w:rsid w:val="EDADFC12"/>
    <w:rsid w:val="EEFF0513"/>
    <w:rsid w:val="EF8FD20F"/>
    <w:rsid w:val="F2FD229B"/>
    <w:rsid w:val="F2FF556F"/>
    <w:rsid w:val="F7F709E9"/>
    <w:rsid w:val="F7FF3690"/>
    <w:rsid w:val="F9BD3900"/>
    <w:rsid w:val="FAABBAF0"/>
    <w:rsid w:val="FADB14E1"/>
    <w:rsid w:val="FAFD675C"/>
    <w:rsid w:val="FBBF598E"/>
    <w:rsid w:val="FBFD3EEF"/>
    <w:rsid w:val="FBFFAF2A"/>
    <w:rsid w:val="FC8B9876"/>
    <w:rsid w:val="FCF3967C"/>
    <w:rsid w:val="FD7F2977"/>
    <w:rsid w:val="FDFF6FAE"/>
    <w:rsid w:val="FEDFF218"/>
    <w:rsid w:val="FEDFFFFF"/>
    <w:rsid w:val="FF6B8354"/>
    <w:rsid w:val="FF7BCE16"/>
    <w:rsid w:val="FFB93B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paragraph" w:styleId="10">
    <w:name w:val="Body Text First Indent 2"/>
    <w:basedOn w:val="4"/>
    <w:unhideWhenUsed/>
    <w:qFormat/>
    <w:uiPriority w:val="99"/>
    <w:pPr>
      <w:ind w:firstLine="420" w:firstLineChars="200"/>
    </w:pPr>
    <w:rPr>
      <w:szCs w:val="22"/>
    </w:rPr>
  </w:style>
  <w:style w:type="character" w:styleId="13">
    <w:name w:val="Strong"/>
    <w:qFormat/>
    <w:uiPriority w:val="0"/>
    <w:rPr>
      <w:b/>
    </w:rPr>
  </w:style>
  <w:style w:type="character" w:styleId="14">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3798.76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layout>
        <c:manualLayout>
          <c:xMode val="edge"/>
          <c:yMode val="edge"/>
          <c:x val="0.653452886581721"/>
          <c:y val="0.445323152440687"/>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noFill/>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3243.1</c:v>
                </c:pt>
                <c:pt idx="1">
                  <c:v>375.41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3475</Words>
  <Characters>4042</Characters>
  <Lines>77</Lines>
  <Paragraphs>21</Paragraphs>
  <TotalTime>0</TotalTime>
  <ScaleCrop>false</ScaleCrop>
  <LinksUpToDate>false</LinksUpToDate>
  <CharactersWithSpaces>4061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2017-07-17T07:16:00Z</dcterms:created>
  <dc:creator>常程</dc:creator>
  <cp:lastModifiedBy>张腾</cp:lastModifiedBy>
  <cp:lastPrinted>2020-08-13T03:39:00Z</cp:lastPrinted>
  <dcterms:modified xsi:type="dcterms:W3CDTF">2025-08-27T15:23:45Z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BAA6AD9D8B90A5B651CAAB68B31D9AFF</vt:lpwstr>
  </property>
</Properties>
</file>